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667" w:rsidRDefault="00E56667" w:rsidP="00E56667">
      <w:pPr>
        <w:jc w:val="center"/>
        <w:rPr>
          <w:lang w:val="en-US"/>
        </w:rPr>
      </w:pPr>
    </w:p>
    <w:p w:rsidR="004D1108" w:rsidRPr="004D1108" w:rsidRDefault="00E56667" w:rsidP="004D1108">
      <w:pPr>
        <w:jc w:val="center"/>
        <w:rPr>
          <w:rFonts w:ascii="Century Gothic" w:hAnsi="Century Gothic"/>
          <w:b/>
          <w:lang w:val="en-US"/>
        </w:rPr>
      </w:pPr>
      <w:r w:rsidRPr="004D1108">
        <w:rPr>
          <w:rFonts w:ascii="Century Gothic" w:hAnsi="Century Gothic"/>
          <w:b/>
          <w:lang w:val="en-US"/>
        </w:rPr>
        <w:t>GLOBAL COMMENT</w:t>
      </w:r>
      <w:r w:rsidR="004D1108" w:rsidRPr="004D1108">
        <w:rPr>
          <w:rFonts w:ascii="Century Gothic" w:hAnsi="Century Gothic"/>
          <w:b/>
          <w:lang w:val="en-US"/>
        </w:rPr>
        <w:t xml:space="preserve">S </w:t>
      </w:r>
      <w:r w:rsidR="004D1108" w:rsidRPr="004D1108">
        <w:rPr>
          <w:rFonts w:ascii="Century Gothic" w:hAnsi="Century Gothic"/>
          <w:b/>
          <w:lang w:val="en-US"/>
        </w:rPr>
        <w:t>FIRST TERM</w:t>
      </w:r>
    </w:p>
    <w:p w:rsidR="004D1108" w:rsidRPr="004D1108" w:rsidRDefault="004D1108" w:rsidP="004D1108">
      <w:pPr>
        <w:jc w:val="both"/>
        <w:rPr>
          <w:rFonts w:ascii="Century Gothic" w:hAnsi="Century Gothic"/>
          <w:b/>
          <w:lang w:val="en-US"/>
        </w:rPr>
      </w:pPr>
      <w:bookmarkStart w:id="0" w:name="_GoBack"/>
      <w:bookmarkEnd w:id="0"/>
    </w:p>
    <w:p w:rsidR="00E56667" w:rsidRPr="004D1108" w:rsidRDefault="00E56667" w:rsidP="004D1108">
      <w:pPr>
        <w:jc w:val="both"/>
        <w:rPr>
          <w:rFonts w:ascii="Century Gothic" w:hAnsi="Century Gothic"/>
          <w:b/>
          <w:lang w:val="en-US"/>
        </w:rPr>
      </w:pPr>
      <w:r w:rsidRPr="004D1108">
        <w:rPr>
          <w:rFonts w:ascii="Century Gothic" w:hAnsi="Century Gothic"/>
          <w:b/>
          <w:lang w:val="en-US"/>
        </w:rPr>
        <w:t xml:space="preserve">VIEWING AND PRESENTING </w:t>
      </w:r>
    </w:p>
    <w:p w:rsidR="00DB495E" w:rsidRPr="004D1108" w:rsidRDefault="00DB495E" w:rsidP="004D1108">
      <w:pPr>
        <w:jc w:val="both"/>
        <w:rPr>
          <w:rFonts w:ascii="Century Gothic" w:hAnsi="Century Gothic"/>
        </w:rPr>
      </w:pPr>
      <w:r w:rsidRPr="004D1108">
        <w:rPr>
          <w:rFonts w:ascii="Century Gothic" w:hAnsi="Century Gothic"/>
        </w:rPr>
        <w:t>Los niños observaron</w:t>
      </w:r>
      <w:r w:rsidRPr="004D1108">
        <w:rPr>
          <w:rFonts w:ascii="Century Gothic" w:hAnsi="Century Gothic"/>
        </w:rPr>
        <w:t xml:space="preserve"> y discutieron ilustraciones  en  libros de referencia</w:t>
      </w:r>
      <w:r w:rsidRPr="004D1108">
        <w:rPr>
          <w:rFonts w:ascii="Century Gothic" w:hAnsi="Century Gothic"/>
        </w:rPr>
        <w:t xml:space="preserve">, comentando la información encontrada en ellos. Usaron el lenguaje corporal en mímica y juegos de roles para comunicar sus ideas y sentimientos de manera visual. </w:t>
      </w:r>
    </w:p>
    <w:p w:rsidR="00DB495E" w:rsidRPr="004D1108" w:rsidRDefault="00DB495E" w:rsidP="004D1108">
      <w:pPr>
        <w:spacing w:after="0" w:line="240" w:lineRule="auto"/>
        <w:jc w:val="both"/>
        <w:rPr>
          <w:rFonts w:ascii="Century Gothic" w:hAnsi="Century Gothic" w:cs="Times New Roman"/>
          <w:sz w:val="24"/>
          <w:szCs w:val="24"/>
        </w:rPr>
      </w:pPr>
      <w:r w:rsidRPr="004D1108">
        <w:rPr>
          <w:rFonts w:ascii="Century Gothic" w:hAnsi="Century Gothic" w:cs="Times New Roman"/>
          <w:noProof/>
          <w:sz w:val="24"/>
          <w:szCs w:val="24"/>
          <w:lang w:eastAsia="es-CO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 wp14:anchorId="09D7BC89" wp14:editId="346896FB">
                <wp:simplePos x="0" y="0"/>
                <wp:positionH relativeFrom="column">
                  <wp:posOffset>540385</wp:posOffset>
                </wp:positionH>
                <wp:positionV relativeFrom="paragraph">
                  <wp:posOffset>1431925</wp:posOffset>
                </wp:positionV>
                <wp:extent cx="1619250" cy="2942590"/>
                <wp:effectExtent l="0" t="3175" r="254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619250" cy="2942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42.55pt;margin-top:112.75pt;width:127.5pt;height:231.7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" filled="f" stroked="f" insetpen="t">
                <v:shadow color="#eeece1"/>
                <o:lock v:ext="edit" shapetype="t"/>
                <v:textbox inset="0,0,0,0"/>
              </v:rect>
            </w:pict>
          </mc:Fallback>
        </mc:AlternateContent>
      </w:r>
    </w:p>
    <w:p w:rsidR="00036A52" w:rsidRPr="004D1108" w:rsidRDefault="00036A52" w:rsidP="004D1108">
      <w:pPr>
        <w:jc w:val="both"/>
        <w:rPr>
          <w:rFonts w:ascii="Century Gothic" w:hAnsi="Century Gothic"/>
        </w:rPr>
      </w:pPr>
      <w:r w:rsidRPr="004D1108">
        <w:rPr>
          <w:rFonts w:ascii="Century Gothic" w:hAnsi="Century Gothic"/>
          <w:b/>
        </w:rPr>
        <w:t>UNIT:</w:t>
      </w:r>
      <w:r w:rsidRPr="004D1108">
        <w:rPr>
          <w:rFonts w:ascii="Century Gothic" w:hAnsi="Century Gothic"/>
        </w:rPr>
        <w:t xml:space="preserve"> </w:t>
      </w:r>
    </w:p>
    <w:p w:rsidR="00036A52" w:rsidRPr="004D1108" w:rsidRDefault="00036A52" w:rsidP="004D1108">
      <w:pPr>
        <w:jc w:val="both"/>
        <w:rPr>
          <w:rFonts w:ascii="Century Gothic" w:hAnsi="Century Gothic"/>
        </w:rPr>
      </w:pPr>
      <w:r w:rsidRPr="004D1108">
        <w:rPr>
          <w:rFonts w:ascii="Century Gothic" w:hAnsi="Century Gothic"/>
        </w:rPr>
        <w:t xml:space="preserve">Durante este periodo trabajamos </w:t>
      </w:r>
      <w:r w:rsidRPr="004D1108">
        <w:rPr>
          <w:rFonts w:ascii="Century Gothic" w:hAnsi="Century Gothic"/>
        </w:rPr>
        <w:t>dos</w:t>
      </w:r>
      <w:r w:rsidRPr="004D1108">
        <w:rPr>
          <w:rFonts w:ascii="Century Gothic" w:hAnsi="Century Gothic"/>
        </w:rPr>
        <w:t xml:space="preserve"> unidades de indagación. En la primera desarrollamos el Tema </w:t>
      </w:r>
      <w:proofErr w:type="spellStart"/>
      <w:r w:rsidRPr="004D1108">
        <w:rPr>
          <w:rFonts w:ascii="Century Gothic" w:hAnsi="Century Gothic"/>
        </w:rPr>
        <w:t>Transdisciplinario</w:t>
      </w:r>
      <w:proofErr w:type="spellEnd"/>
      <w:r w:rsidRPr="004D1108">
        <w:rPr>
          <w:rFonts w:ascii="Century Gothic" w:hAnsi="Century Gothic"/>
        </w:rPr>
        <w:t xml:space="preserve"> “</w:t>
      </w:r>
      <w:proofErr w:type="spellStart"/>
      <w:r w:rsidRPr="004D1108">
        <w:rPr>
          <w:rFonts w:ascii="Century Gothic" w:hAnsi="Century Gothic"/>
        </w:rPr>
        <w:t>How</w:t>
      </w:r>
      <w:proofErr w:type="spellEnd"/>
      <w:r w:rsidRPr="004D1108">
        <w:rPr>
          <w:rFonts w:ascii="Century Gothic" w:hAnsi="Century Gothic"/>
        </w:rPr>
        <w:t xml:space="preserve"> </w:t>
      </w:r>
      <w:proofErr w:type="spellStart"/>
      <w:r w:rsidRPr="004D1108">
        <w:rPr>
          <w:rFonts w:ascii="Century Gothic" w:hAnsi="Century Gothic"/>
        </w:rPr>
        <w:t>we</w:t>
      </w:r>
      <w:proofErr w:type="spellEnd"/>
      <w:r w:rsidRPr="004D1108">
        <w:rPr>
          <w:rFonts w:ascii="Century Gothic" w:hAnsi="Century Gothic"/>
        </w:rPr>
        <w:t xml:space="preserve"> </w:t>
      </w:r>
      <w:proofErr w:type="spellStart"/>
      <w:r w:rsidRPr="004D1108">
        <w:rPr>
          <w:rFonts w:ascii="Century Gothic" w:hAnsi="Century Gothic"/>
        </w:rPr>
        <w:t>express</w:t>
      </w:r>
      <w:proofErr w:type="spellEnd"/>
      <w:r w:rsidRPr="004D1108">
        <w:rPr>
          <w:rFonts w:ascii="Century Gothic" w:hAnsi="Century Gothic"/>
        </w:rPr>
        <w:t xml:space="preserve"> </w:t>
      </w:r>
      <w:proofErr w:type="spellStart"/>
      <w:r w:rsidRPr="004D1108">
        <w:rPr>
          <w:rFonts w:ascii="Century Gothic" w:hAnsi="Century Gothic"/>
        </w:rPr>
        <w:t>ourselves</w:t>
      </w:r>
      <w:proofErr w:type="spellEnd"/>
      <w:r w:rsidRPr="004D1108">
        <w:rPr>
          <w:rFonts w:ascii="Century Gothic" w:hAnsi="Century Gothic"/>
        </w:rPr>
        <w:t xml:space="preserve">”, proponiendo indagar sobre las diferentes maneras de contar una historia de acuerdo con la preferencia personal, la estructura que subyace y organiza toda historia y algunos elementos que las caracterizan. </w:t>
      </w:r>
    </w:p>
    <w:p w:rsidR="00036A52" w:rsidRPr="004D1108" w:rsidRDefault="00036A52" w:rsidP="004D1108">
      <w:pPr>
        <w:jc w:val="both"/>
        <w:rPr>
          <w:rFonts w:ascii="Century Gothic" w:hAnsi="Century Gothic"/>
        </w:rPr>
      </w:pPr>
      <w:r w:rsidRPr="004D1108">
        <w:rPr>
          <w:rFonts w:ascii="Century Gothic" w:hAnsi="Century Gothic"/>
        </w:rPr>
        <w:t>En la segunda unidad de indagació</w:t>
      </w:r>
      <w:r w:rsidRPr="004D1108">
        <w:rPr>
          <w:rFonts w:ascii="Century Gothic" w:hAnsi="Century Gothic"/>
        </w:rPr>
        <w:t>n desarrollamos el tema “</w:t>
      </w:r>
      <w:proofErr w:type="spellStart"/>
      <w:r w:rsidRPr="004D1108">
        <w:rPr>
          <w:rFonts w:ascii="Century Gothic" w:hAnsi="Century Gothic"/>
        </w:rPr>
        <w:t>Where</w:t>
      </w:r>
      <w:proofErr w:type="spellEnd"/>
      <w:r w:rsidRPr="004D1108">
        <w:rPr>
          <w:rFonts w:ascii="Century Gothic" w:hAnsi="Century Gothic"/>
        </w:rPr>
        <w:t xml:space="preserve"> </w:t>
      </w:r>
      <w:proofErr w:type="spellStart"/>
      <w:r w:rsidRPr="004D1108">
        <w:rPr>
          <w:rFonts w:ascii="Century Gothic" w:hAnsi="Century Gothic"/>
        </w:rPr>
        <w:t>w</w:t>
      </w:r>
      <w:r w:rsidRPr="004D1108">
        <w:rPr>
          <w:rFonts w:ascii="Century Gothic" w:hAnsi="Century Gothic"/>
        </w:rPr>
        <w:t>e</w:t>
      </w:r>
      <w:proofErr w:type="spellEnd"/>
      <w:r w:rsidRPr="004D1108">
        <w:rPr>
          <w:rFonts w:ascii="Century Gothic" w:hAnsi="Century Gothic"/>
        </w:rPr>
        <w:t xml:space="preserve"> are in place and time”, rea</w:t>
      </w:r>
      <w:r w:rsidRPr="004D1108">
        <w:rPr>
          <w:rFonts w:ascii="Century Gothic" w:hAnsi="Century Gothic"/>
        </w:rPr>
        <w:t xml:space="preserve">lizando una indagación sobre </w:t>
      </w:r>
      <w:r w:rsidRPr="004D1108">
        <w:rPr>
          <w:rFonts w:ascii="Century Gothic" w:hAnsi="Century Gothic"/>
        </w:rPr>
        <w:t xml:space="preserve">las costumbres de la familia </w:t>
      </w:r>
      <w:r w:rsidRPr="004D1108">
        <w:rPr>
          <w:rFonts w:ascii="Century Gothic" w:hAnsi="Century Gothic"/>
        </w:rPr>
        <w:t xml:space="preserve">a partir </w:t>
      </w:r>
      <w:r w:rsidRPr="004D1108">
        <w:rPr>
          <w:rFonts w:ascii="Century Gothic" w:hAnsi="Century Gothic"/>
        </w:rPr>
        <w:t xml:space="preserve">de </w:t>
      </w:r>
      <w:r w:rsidRPr="004D1108">
        <w:rPr>
          <w:rFonts w:ascii="Century Gothic" w:hAnsi="Century Gothic"/>
        </w:rPr>
        <w:t>sus</w:t>
      </w:r>
      <w:r w:rsidRPr="004D1108">
        <w:rPr>
          <w:rFonts w:ascii="Century Gothic" w:hAnsi="Century Gothic"/>
        </w:rPr>
        <w:t xml:space="preserve"> orígenes geográficos </w:t>
      </w:r>
      <w:r w:rsidRPr="004D1108">
        <w:rPr>
          <w:rFonts w:ascii="Century Gothic" w:hAnsi="Century Gothic"/>
        </w:rPr>
        <w:t>y de sus ancestros.</w:t>
      </w:r>
    </w:p>
    <w:p w:rsidR="00036A52" w:rsidRDefault="00036A52" w:rsidP="00036A52"/>
    <w:p w:rsidR="00E56667" w:rsidRPr="00036A52" w:rsidRDefault="00E56667" w:rsidP="00E56667">
      <w:pPr>
        <w:rPr>
          <w:b/>
        </w:rPr>
      </w:pPr>
    </w:p>
    <w:sectPr w:rsidR="00E56667" w:rsidRPr="00036A5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667"/>
    <w:rsid w:val="00036A52"/>
    <w:rsid w:val="004D1108"/>
    <w:rsid w:val="00533403"/>
    <w:rsid w:val="00DB495E"/>
    <w:rsid w:val="00E5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132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Portatil CCB</cp:lastModifiedBy>
  <cp:revision>4</cp:revision>
  <dcterms:created xsi:type="dcterms:W3CDTF">2011-11-15T19:45:00Z</dcterms:created>
  <dcterms:modified xsi:type="dcterms:W3CDTF">2011-11-15T20:01:00Z</dcterms:modified>
</cp:coreProperties>
</file>